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39" w:rsidRDefault="002C3639" w:rsidP="00CF3679">
      <w:pPr>
        <w:jc w:val="center"/>
      </w:pPr>
      <w:r>
        <w:rPr>
          <w:b/>
          <w:noProof/>
        </w:rPr>
        <w:drawing>
          <wp:inline distT="0" distB="0" distL="0" distR="0">
            <wp:extent cx="3533775" cy="9128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3775" cy="912892"/>
                    </a:xfrm>
                    <a:prstGeom prst="rect">
                      <a:avLst/>
                    </a:prstGeom>
                    <a:noFill/>
                    <a:ln>
                      <a:noFill/>
                    </a:ln>
                  </pic:spPr>
                </pic:pic>
              </a:graphicData>
            </a:graphic>
          </wp:inline>
        </w:drawing>
      </w:r>
    </w:p>
    <w:p w:rsidR="00CF3679" w:rsidRDefault="00CF3679" w:rsidP="00CF3679">
      <w:pPr>
        <w:jc w:val="center"/>
        <w:rPr>
          <w:rFonts w:ascii="Times New Roman" w:hAnsi="Times New Roman" w:cs="Times New Roman"/>
          <w:b/>
          <w:sz w:val="24"/>
          <w:szCs w:val="24"/>
          <w:u w:val="single"/>
        </w:rPr>
      </w:pPr>
      <w:r w:rsidRPr="002C3639">
        <w:rPr>
          <w:rFonts w:ascii="Times New Roman" w:hAnsi="Times New Roman" w:cs="Times New Roman"/>
          <w:b/>
          <w:sz w:val="24"/>
          <w:szCs w:val="24"/>
          <w:u w:val="single"/>
        </w:rPr>
        <w:t>UNDERWRITING BULLETIN</w:t>
      </w:r>
    </w:p>
    <w:p w:rsidR="002C3639" w:rsidRPr="002C3639" w:rsidRDefault="002C3639" w:rsidP="00CF3679">
      <w:pPr>
        <w:jc w:val="center"/>
        <w:rPr>
          <w:rFonts w:ascii="Times New Roman" w:hAnsi="Times New Roman" w:cs="Times New Roman"/>
          <w:b/>
          <w:sz w:val="24"/>
          <w:szCs w:val="24"/>
          <w:u w:val="single"/>
        </w:rPr>
      </w:pPr>
    </w:p>
    <w:p w:rsidR="00AC2343" w:rsidRPr="002C3639" w:rsidRDefault="00BA649E">
      <w:pPr>
        <w:rPr>
          <w:rFonts w:ascii="Times New Roman" w:hAnsi="Times New Roman" w:cs="Times New Roman"/>
          <w:b/>
        </w:rPr>
      </w:pPr>
      <w:r w:rsidRPr="002C3639">
        <w:rPr>
          <w:rFonts w:ascii="Times New Roman" w:hAnsi="Times New Roman" w:cs="Times New Roman"/>
          <w:b/>
        </w:rPr>
        <w:t xml:space="preserve">To: </w:t>
      </w:r>
      <w:r w:rsidRPr="002C3639">
        <w:rPr>
          <w:rFonts w:ascii="Times New Roman" w:hAnsi="Times New Roman" w:cs="Times New Roman"/>
          <w:b/>
        </w:rPr>
        <w:tab/>
      </w:r>
      <w:r w:rsidR="00CF3679" w:rsidRPr="002C3639">
        <w:rPr>
          <w:rFonts w:ascii="Times New Roman" w:hAnsi="Times New Roman" w:cs="Times New Roman"/>
          <w:b/>
        </w:rPr>
        <w:tab/>
      </w:r>
      <w:r w:rsidR="002A07C8" w:rsidRPr="002C3639">
        <w:rPr>
          <w:rFonts w:ascii="Times New Roman" w:hAnsi="Times New Roman" w:cs="Times New Roman"/>
          <w:b/>
        </w:rPr>
        <w:t xml:space="preserve">All </w:t>
      </w:r>
      <w:r w:rsidR="002A07C8">
        <w:rPr>
          <w:rFonts w:ascii="Times New Roman" w:hAnsi="Times New Roman" w:cs="Times New Roman"/>
          <w:b/>
        </w:rPr>
        <w:t>National Agents</w:t>
      </w:r>
    </w:p>
    <w:p w:rsidR="00BA649E" w:rsidRPr="002C3639" w:rsidRDefault="00BA649E">
      <w:pPr>
        <w:rPr>
          <w:rFonts w:ascii="Times New Roman" w:hAnsi="Times New Roman" w:cs="Times New Roman"/>
          <w:b/>
        </w:rPr>
      </w:pPr>
      <w:r w:rsidRPr="002C3639">
        <w:rPr>
          <w:rFonts w:ascii="Times New Roman" w:hAnsi="Times New Roman" w:cs="Times New Roman"/>
          <w:b/>
        </w:rPr>
        <w:t>From:</w:t>
      </w:r>
      <w:r w:rsidRPr="002C3639">
        <w:rPr>
          <w:rFonts w:ascii="Times New Roman" w:hAnsi="Times New Roman" w:cs="Times New Roman"/>
          <w:b/>
        </w:rPr>
        <w:tab/>
      </w:r>
      <w:r w:rsidR="00CF3679" w:rsidRPr="002C3639">
        <w:rPr>
          <w:rFonts w:ascii="Times New Roman" w:hAnsi="Times New Roman" w:cs="Times New Roman"/>
          <w:b/>
        </w:rPr>
        <w:tab/>
      </w:r>
      <w:r w:rsidRPr="002C3639">
        <w:rPr>
          <w:rFonts w:ascii="Times New Roman" w:hAnsi="Times New Roman" w:cs="Times New Roman"/>
          <w:b/>
        </w:rPr>
        <w:t>WFG Underwriting Department</w:t>
      </w:r>
    </w:p>
    <w:p w:rsidR="00BA649E" w:rsidRPr="002C3639" w:rsidRDefault="00BA649E">
      <w:pPr>
        <w:rPr>
          <w:rFonts w:ascii="Times New Roman" w:hAnsi="Times New Roman" w:cs="Times New Roman"/>
          <w:b/>
        </w:rPr>
      </w:pPr>
      <w:r w:rsidRPr="002C3639">
        <w:rPr>
          <w:rFonts w:ascii="Times New Roman" w:hAnsi="Times New Roman" w:cs="Times New Roman"/>
          <w:b/>
        </w:rPr>
        <w:t>Date:</w:t>
      </w:r>
      <w:r w:rsidRPr="002C3639">
        <w:rPr>
          <w:rFonts w:ascii="Times New Roman" w:hAnsi="Times New Roman" w:cs="Times New Roman"/>
          <w:b/>
        </w:rPr>
        <w:tab/>
      </w:r>
      <w:r w:rsidR="00CF3679" w:rsidRPr="002C3639">
        <w:rPr>
          <w:rFonts w:ascii="Times New Roman" w:hAnsi="Times New Roman" w:cs="Times New Roman"/>
          <w:b/>
        </w:rPr>
        <w:tab/>
      </w:r>
      <w:r w:rsidR="00CA4AB7">
        <w:rPr>
          <w:rFonts w:ascii="Times New Roman" w:hAnsi="Times New Roman" w:cs="Times New Roman"/>
          <w:b/>
        </w:rPr>
        <w:t>December 4, 2012</w:t>
      </w:r>
    </w:p>
    <w:p w:rsidR="00CF3679" w:rsidRPr="002C3639" w:rsidRDefault="00CF3679">
      <w:pPr>
        <w:rPr>
          <w:rFonts w:ascii="Times New Roman" w:hAnsi="Times New Roman" w:cs="Times New Roman"/>
          <w:b/>
        </w:rPr>
      </w:pPr>
      <w:r w:rsidRPr="002C3639">
        <w:rPr>
          <w:rFonts w:ascii="Times New Roman" w:hAnsi="Times New Roman" w:cs="Times New Roman"/>
          <w:b/>
        </w:rPr>
        <w:t>Bulletin No.:</w:t>
      </w:r>
      <w:r w:rsidRPr="002C3639">
        <w:rPr>
          <w:rFonts w:ascii="Times New Roman" w:hAnsi="Times New Roman" w:cs="Times New Roman"/>
          <w:b/>
        </w:rPr>
        <w:tab/>
      </w:r>
      <w:r w:rsidR="002A07C8">
        <w:rPr>
          <w:rFonts w:ascii="Times New Roman" w:hAnsi="Times New Roman" w:cs="Times New Roman"/>
          <w:b/>
        </w:rPr>
        <w:t>DC</w:t>
      </w:r>
      <w:r w:rsidR="003A1C35" w:rsidRPr="002C3639">
        <w:rPr>
          <w:rFonts w:ascii="Times New Roman" w:hAnsi="Times New Roman" w:cs="Times New Roman"/>
          <w:b/>
        </w:rPr>
        <w:t>-</w:t>
      </w:r>
      <w:r w:rsidR="00CA4AB7">
        <w:rPr>
          <w:rFonts w:ascii="Times New Roman" w:hAnsi="Times New Roman" w:cs="Times New Roman"/>
          <w:b/>
        </w:rPr>
        <w:t>1204</w:t>
      </w:r>
      <w:r w:rsidR="002A07C8">
        <w:rPr>
          <w:rFonts w:ascii="Times New Roman" w:hAnsi="Times New Roman" w:cs="Times New Roman"/>
          <w:b/>
        </w:rPr>
        <w:t>2012-01</w:t>
      </w:r>
    </w:p>
    <w:p w:rsidR="00BE4B64" w:rsidRDefault="00BA649E">
      <w:pPr>
        <w:rPr>
          <w:rFonts w:ascii="Times New Roman" w:hAnsi="Times New Roman" w:cs="Times New Roman"/>
          <w:b/>
        </w:rPr>
      </w:pPr>
      <w:r w:rsidRPr="002C3639">
        <w:rPr>
          <w:rFonts w:ascii="Times New Roman" w:hAnsi="Times New Roman" w:cs="Times New Roman"/>
          <w:b/>
        </w:rPr>
        <w:t>Re:</w:t>
      </w:r>
      <w:r w:rsidRPr="002C3639">
        <w:rPr>
          <w:rFonts w:ascii="Times New Roman" w:hAnsi="Times New Roman" w:cs="Times New Roman"/>
          <w:b/>
        </w:rPr>
        <w:tab/>
      </w:r>
      <w:r w:rsidR="00CF3679" w:rsidRPr="002C3639">
        <w:rPr>
          <w:rFonts w:ascii="Times New Roman" w:hAnsi="Times New Roman" w:cs="Times New Roman"/>
          <w:b/>
        </w:rPr>
        <w:tab/>
      </w:r>
      <w:r w:rsidR="002A07C8" w:rsidRPr="002A07C8">
        <w:rPr>
          <w:rFonts w:ascii="Times New Roman" w:hAnsi="Times New Roman" w:cs="Times New Roman"/>
          <w:b/>
        </w:rPr>
        <w:t>RE-ASSESSED BACK TAXES IN WASHINGTON, D.C.</w:t>
      </w:r>
    </w:p>
    <w:p w:rsidR="002A07C8" w:rsidRPr="002A07C8" w:rsidRDefault="002A07C8" w:rsidP="002A07C8">
      <w:pPr>
        <w:rPr>
          <w:rFonts w:ascii="Times New Roman" w:hAnsi="Times New Roman" w:cs="Times New Roman"/>
        </w:rPr>
      </w:pPr>
      <w:r>
        <w:tab/>
      </w:r>
      <w:r w:rsidRPr="002A07C8">
        <w:rPr>
          <w:rFonts w:ascii="Times New Roman" w:hAnsi="Times New Roman" w:cs="Times New Roman"/>
        </w:rPr>
        <w:t xml:space="preserve">The tax assessor in Washington, D. C. is conducting homestead tax deduction audits and re-assessing real estate taxes on properties that have lost their homestead tax deduction tax status.  This can </w:t>
      </w:r>
      <w:proofErr w:type="gramStart"/>
      <w:r w:rsidRPr="002A07C8">
        <w:rPr>
          <w:rFonts w:ascii="Times New Roman" w:hAnsi="Times New Roman" w:cs="Times New Roman"/>
        </w:rPr>
        <w:t>result</w:t>
      </w:r>
      <w:proofErr w:type="gramEnd"/>
      <w:r w:rsidRPr="002A07C8">
        <w:rPr>
          <w:rFonts w:ascii="Times New Roman" w:hAnsi="Times New Roman" w:cs="Times New Roman"/>
        </w:rPr>
        <w:t xml:space="preserve"> in additional taxes amounting to thousands of dollars.</w:t>
      </w:r>
    </w:p>
    <w:p w:rsidR="002A07C8" w:rsidRPr="002A07C8" w:rsidRDefault="002A07C8" w:rsidP="002A07C8">
      <w:pPr>
        <w:rPr>
          <w:rFonts w:ascii="Times New Roman" w:hAnsi="Times New Roman" w:cs="Times New Roman"/>
        </w:rPr>
      </w:pPr>
      <w:r w:rsidRPr="002A07C8">
        <w:rPr>
          <w:rFonts w:ascii="Times New Roman" w:hAnsi="Times New Roman" w:cs="Times New Roman"/>
        </w:rPr>
        <w:tab/>
        <w:t xml:space="preserve">In a sale/purchase transaction, agents should require that the sellers confirm in writing if they have been residing at the property (and that the property is not rental property, etc.) and have applied for and received the homestead tax status deduction.  In addition, agents should obtain a tax certificate from the taxing authority certifying the status of taxes.  The receipt by the agent of a clean tax certificate </w:t>
      </w:r>
      <w:proofErr w:type="spellStart"/>
      <w:r w:rsidRPr="002A07C8">
        <w:rPr>
          <w:rFonts w:ascii="Times New Roman" w:hAnsi="Times New Roman" w:cs="Times New Roman"/>
        </w:rPr>
        <w:t>estops</w:t>
      </w:r>
      <w:proofErr w:type="spellEnd"/>
      <w:r w:rsidRPr="002A07C8">
        <w:rPr>
          <w:rFonts w:ascii="Times New Roman" w:hAnsi="Times New Roman" w:cs="Times New Roman"/>
        </w:rPr>
        <w:t xml:space="preserve"> D. C. from asserting a lien for unpaid taxes accrued prior to the date of the certificate but which are not specified in the certificate.  If the certificate is not available at closing, funds sufficient to pay taxes, penalty, interest, etc., must be escrowed until a clean tax certificate is obtained or, if taxes or other charges are owed, they must be paid, and any excess funds refunded to the seller.</w:t>
      </w:r>
    </w:p>
    <w:p w:rsidR="002A07C8" w:rsidRPr="002A07C8" w:rsidRDefault="002A07C8" w:rsidP="002A07C8">
      <w:pPr>
        <w:rPr>
          <w:rFonts w:ascii="Times New Roman" w:hAnsi="Times New Roman" w:cs="Times New Roman"/>
        </w:rPr>
      </w:pPr>
      <w:r w:rsidRPr="002A07C8">
        <w:rPr>
          <w:rFonts w:ascii="Times New Roman" w:hAnsi="Times New Roman" w:cs="Times New Roman"/>
        </w:rPr>
        <w:tab/>
        <w:t xml:space="preserve">In a refinance situation, any homestead audit re-assessment taxes remain the responsibility of the owner/borrower.  However, these taxes are super priority liens and must be handled in the same manner as the sale/purchase situation.  One potential problem is that the new lender’s loan cannot be sold with unpaid taxes owing as the taxes will have priority over the new lender’s deed of trust or mortgage.  Other potential problems are that the lender might foreclose its lien, or the property could be sold at a “tax sale”.   Both scenarios could result in claims.  </w:t>
      </w:r>
    </w:p>
    <w:p w:rsidR="002A07C8" w:rsidRPr="002A07C8" w:rsidRDefault="002A07C8" w:rsidP="002A07C8">
      <w:pPr>
        <w:rPr>
          <w:rFonts w:ascii="Times New Roman" w:hAnsi="Times New Roman" w:cs="Times New Roman"/>
        </w:rPr>
      </w:pPr>
      <w:r w:rsidRPr="002A07C8">
        <w:rPr>
          <w:rFonts w:ascii="Times New Roman" w:hAnsi="Times New Roman" w:cs="Times New Roman"/>
        </w:rPr>
        <w:tab/>
        <w:t>Accordingly, our commitment requirements in these situations, both purchase and refinance, are as follows:</w:t>
      </w:r>
    </w:p>
    <w:p w:rsidR="002A07C8" w:rsidRPr="002A07C8" w:rsidRDefault="002A07C8" w:rsidP="002A07C8">
      <w:pPr>
        <w:rPr>
          <w:rFonts w:ascii="Times New Roman" w:hAnsi="Times New Roman" w:cs="Times New Roman"/>
        </w:rPr>
      </w:pPr>
    </w:p>
    <w:p w:rsidR="002A07C8" w:rsidRDefault="002A07C8" w:rsidP="002A07C8">
      <w:pPr>
        <w:numPr>
          <w:ilvl w:val="0"/>
          <w:numId w:val="1"/>
        </w:numPr>
        <w:spacing w:after="0" w:line="240" w:lineRule="auto"/>
      </w:pPr>
      <w:r w:rsidRPr="002A07C8">
        <w:rPr>
          <w:rFonts w:ascii="Times New Roman" w:hAnsi="Times New Roman" w:cs="Times New Roman"/>
        </w:rPr>
        <w:t xml:space="preserve"> Receipt of a Tax Certificate from the District of Columbia showing no past due real estate taxes or governmental liens.  An initial report could be based on the date shown on the website for the </w:t>
      </w:r>
      <w:r w:rsidRPr="002A07C8">
        <w:rPr>
          <w:rFonts w:ascii="Times New Roman" w:hAnsi="Times New Roman" w:cs="Times New Roman"/>
        </w:rPr>
        <w:lastRenderedPageBreak/>
        <w:t xml:space="preserve">Office of Tax and Revenue (OTR).  </w:t>
      </w:r>
      <w:hyperlink r:id="rId11" w:history="1">
        <w:r w:rsidR="00CA4AB7" w:rsidRPr="00DA5C96">
          <w:rPr>
            <w:rStyle w:val="Hyperlink"/>
          </w:rPr>
          <w:t>http://cf</w:t>
        </w:r>
        <w:r w:rsidR="00CA4AB7">
          <w:rPr>
            <w:rStyle w:val="Hyperlink"/>
          </w:rPr>
          <w:t>o.washingtondc.gov/cfo/cwp/view,a,</w:t>
        </w:r>
        <w:r w:rsidR="00CA4AB7" w:rsidRPr="00DA5C96">
          <w:rPr>
            <w:rStyle w:val="Hyperlink"/>
          </w:rPr>
          <w:t>1324</w:t>
        </w:r>
        <w:r w:rsidR="00CA4AB7">
          <w:rPr>
            <w:rStyle w:val="Hyperlink"/>
          </w:rPr>
          <w:t>,</w:t>
        </w:r>
        <w:r w:rsidR="00CA4AB7" w:rsidRPr="00DA5C96">
          <w:rPr>
            <w:rStyle w:val="Hyperlink"/>
          </w:rPr>
          <w:t>q</w:t>
        </w:r>
        <w:r w:rsidR="00CA4AB7">
          <w:rPr>
            <w:rStyle w:val="Hyperlink"/>
          </w:rPr>
          <w:t>,</w:t>
        </w:r>
        <w:r w:rsidR="00CA4AB7" w:rsidRPr="00DA5C96">
          <w:rPr>
            <w:rStyle w:val="Hyperlink"/>
          </w:rPr>
          <w:t>5</w:t>
        </w:r>
        <w:r w:rsidR="00CA4AB7">
          <w:rPr>
            <w:rStyle w:val="Hyperlink"/>
          </w:rPr>
          <w:t>90950,</w:t>
        </w:r>
        <w:r w:rsidR="00CA4AB7" w:rsidRPr="00DA5C96">
          <w:rPr>
            <w:rStyle w:val="Hyperlink"/>
          </w:rPr>
          <w:t>c</w:t>
        </w:r>
        <w:r w:rsidR="00CA4AB7">
          <w:rPr>
            <w:rStyle w:val="Hyperlink"/>
          </w:rPr>
          <w:t>foNav,</w:t>
        </w:r>
        <w:r w:rsidR="00CA4AB7" w:rsidRPr="00DA5C96">
          <w:rPr>
            <w:rStyle w:val="Hyperlink"/>
          </w:rPr>
          <w:t>%7C33210%7C.asp</w:t>
        </w:r>
      </w:hyperlink>
    </w:p>
    <w:p w:rsidR="002A07C8" w:rsidRPr="002A07C8" w:rsidRDefault="002A07C8" w:rsidP="002A07C8">
      <w:pPr>
        <w:numPr>
          <w:ilvl w:val="0"/>
          <w:numId w:val="1"/>
        </w:numPr>
        <w:spacing w:after="0" w:line="240" w:lineRule="auto"/>
        <w:rPr>
          <w:rFonts w:ascii="Times New Roman" w:hAnsi="Times New Roman" w:cs="Times New Roman"/>
        </w:rPr>
      </w:pPr>
      <w:r w:rsidRPr="002A07C8">
        <w:rPr>
          <w:rFonts w:ascii="Times New Roman" w:hAnsi="Times New Roman" w:cs="Times New Roman"/>
        </w:rPr>
        <w:t xml:space="preserve">On all closings involving properties benefitting from any exemptions, agents must obtain a verification and indemnification from the seller/borrower that she/he has properly claimed the District of Columbia Homestead Exemption or other applicable exemptions.  The Homestead Exemption requires that she/he as the owner/applicant does occupy the property, the property contains no more than five dwelling units (including the unit occupied by the owner), </w:t>
      </w:r>
      <w:r w:rsidR="0073140B">
        <w:rPr>
          <w:rFonts w:ascii="Times New Roman" w:hAnsi="Times New Roman" w:cs="Times New Roman"/>
        </w:rPr>
        <w:t>and the property is the principal</w:t>
      </w:r>
      <w:r w:rsidRPr="002A07C8">
        <w:rPr>
          <w:rFonts w:ascii="Times New Roman" w:hAnsi="Times New Roman" w:cs="Times New Roman"/>
        </w:rPr>
        <w:t xml:space="preserve"> residence (domicile) of the owner/applicant.</w:t>
      </w:r>
    </w:p>
    <w:p w:rsidR="002A07C8" w:rsidRPr="002A07C8" w:rsidRDefault="002A07C8" w:rsidP="002A07C8">
      <w:pPr>
        <w:numPr>
          <w:ilvl w:val="0"/>
          <w:numId w:val="1"/>
        </w:numPr>
        <w:spacing w:after="0" w:line="240" w:lineRule="auto"/>
        <w:rPr>
          <w:rFonts w:ascii="Times New Roman" w:hAnsi="Times New Roman" w:cs="Times New Roman"/>
        </w:rPr>
      </w:pPr>
      <w:r w:rsidRPr="002A07C8">
        <w:rPr>
          <w:rFonts w:ascii="Times New Roman" w:hAnsi="Times New Roman" w:cs="Times New Roman"/>
        </w:rPr>
        <w:t>If a tax certificate has not been obtained prior to closing an escrow sufficient to pay taxes, interest, penalty, etc. is required in addition to the verification and indemnification.</w:t>
      </w:r>
    </w:p>
    <w:p w:rsidR="002A07C8" w:rsidRPr="002A07C8" w:rsidRDefault="002A07C8" w:rsidP="002A07C8">
      <w:pPr>
        <w:numPr>
          <w:ilvl w:val="0"/>
          <w:numId w:val="1"/>
        </w:numPr>
        <w:spacing w:after="0" w:line="240" w:lineRule="auto"/>
        <w:rPr>
          <w:rFonts w:ascii="Times New Roman" w:hAnsi="Times New Roman" w:cs="Times New Roman"/>
        </w:rPr>
      </w:pPr>
      <w:r w:rsidRPr="002A07C8">
        <w:rPr>
          <w:rFonts w:ascii="Times New Roman" w:hAnsi="Times New Roman" w:cs="Times New Roman"/>
        </w:rPr>
        <w:t xml:space="preserve">Prior to </w:t>
      </w:r>
      <w:r w:rsidRPr="002A07C8">
        <w:rPr>
          <w:rFonts w:ascii="Times New Roman" w:hAnsi="Times New Roman" w:cs="Times New Roman"/>
          <w:u w:val="single"/>
        </w:rPr>
        <w:t>all closings</w:t>
      </w:r>
      <w:r w:rsidRPr="002A07C8">
        <w:rPr>
          <w:rFonts w:ascii="Times New Roman" w:hAnsi="Times New Roman" w:cs="Times New Roman"/>
        </w:rPr>
        <w:t xml:space="preserve"> the OTR website should be checked and the results printed out and kept in the file.</w:t>
      </w:r>
    </w:p>
    <w:p w:rsidR="002A07C8" w:rsidRPr="002A07C8" w:rsidRDefault="002A07C8" w:rsidP="002A07C8">
      <w:pPr>
        <w:rPr>
          <w:rFonts w:ascii="Times New Roman" w:hAnsi="Times New Roman" w:cs="Times New Roman"/>
        </w:rPr>
      </w:pPr>
    </w:p>
    <w:p w:rsidR="002A07C8" w:rsidRPr="002A07C8" w:rsidRDefault="002A07C8" w:rsidP="00EB4E89">
      <w:pPr>
        <w:ind w:left="720"/>
        <w:rPr>
          <w:rFonts w:ascii="Times New Roman" w:hAnsi="Times New Roman" w:cs="Times New Roman"/>
        </w:rPr>
      </w:pPr>
      <w:r w:rsidRPr="002A07C8">
        <w:rPr>
          <w:rFonts w:ascii="Times New Roman" w:hAnsi="Times New Roman" w:cs="Times New Roman"/>
        </w:rPr>
        <w:t>For additional information or guidance, please contact Roger Blauvelt</w:t>
      </w:r>
      <w:r>
        <w:rPr>
          <w:rFonts w:ascii="Times New Roman" w:hAnsi="Times New Roman" w:cs="Times New Roman"/>
        </w:rPr>
        <w:t xml:space="preserve"> at </w:t>
      </w:r>
      <w:hyperlink r:id="rId12" w:history="1">
        <w:r w:rsidRPr="00F076E1">
          <w:rPr>
            <w:rStyle w:val="Hyperlink"/>
            <w:rFonts w:ascii="Times New Roman" w:hAnsi="Times New Roman" w:cs="Times New Roman"/>
          </w:rPr>
          <w:t>rblauvelt@wfgnationaltitle.com</w:t>
        </w:r>
      </w:hyperlink>
      <w:r>
        <w:rPr>
          <w:rFonts w:ascii="Times New Roman" w:hAnsi="Times New Roman" w:cs="Times New Roman"/>
        </w:rPr>
        <w:t xml:space="preserve"> or </w:t>
      </w:r>
      <w:r w:rsidRPr="002A07C8">
        <w:rPr>
          <w:rFonts w:ascii="Times New Roman" w:hAnsi="Times New Roman" w:cs="Times New Roman"/>
        </w:rPr>
        <w:t>(407) 562-1</w:t>
      </w:r>
      <w:r w:rsidR="0073140B">
        <w:rPr>
          <w:rFonts w:ascii="Times New Roman" w:hAnsi="Times New Roman" w:cs="Times New Roman"/>
        </w:rPr>
        <w:t>269</w:t>
      </w:r>
      <w:r>
        <w:rPr>
          <w:rFonts w:ascii="Times New Roman" w:hAnsi="Times New Roman" w:cs="Times New Roman"/>
        </w:rPr>
        <w:t>.</w:t>
      </w:r>
    </w:p>
    <w:p w:rsidR="00321BEA" w:rsidRPr="002A07C8" w:rsidRDefault="00321BEA">
      <w:pPr>
        <w:rPr>
          <w:rFonts w:ascii="Times New Roman" w:hAnsi="Times New Roman" w:cs="Times New Roman"/>
          <w:b/>
        </w:rPr>
      </w:pPr>
    </w:p>
    <w:p w:rsidR="00321BEA" w:rsidRDefault="00321BEA" w:rsidP="00321BEA">
      <w:pPr>
        <w:spacing w:after="240"/>
      </w:pPr>
    </w:p>
    <w:p w:rsidR="002C3639" w:rsidRDefault="002C3639" w:rsidP="00321BEA">
      <w:pPr>
        <w:autoSpaceDE w:val="0"/>
        <w:autoSpaceDN w:val="0"/>
        <w:adjustRightInd w:val="0"/>
        <w:spacing w:after="0"/>
        <w:rPr>
          <w:rFonts w:ascii="Times New Roman" w:hAnsi="Times New Roman"/>
          <w:color w:val="FF0000"/>
          <w:sz w:val="18"/>
          <w:szCs w:val="18"/>
        </w:rPr>
      </w:pPr>
    </w:p>
    <w:p w:rsidR="002C3639" w:rsidRDefault="002C3639" w:rsidP="002C3639">
      <w:pPr>
        <w:autoSpaceDE w:val="0"/>
        <w:autoSpaceDN w:val="0"/>
        <w:adjustRightInd w:val="0"/>
        <w:spacing w:after="0"/>
        <w:rPr>
          <w:rFonts w:ascii="Times New Roman" w:hAnsi="Times New Roman"/>
          <w:color w:val="FF0000"/>
          <w:sz w:val="18"/>
          <w:szCs w:val="18"/>
        </w:rPr>
      </w:pPr>
    </w:p>
    <w:p w:rsidR="002C3639" w:rsidRDefault="002C3639" w:rsidP="002C3639">
      <w:pPr>
        <w:autoSpaceDE w:val="0"/>
        <w:autoSpaceDN w:val="0"/>
        <w:adjustRightInd w:val="0"/>
        <w:spacing w:after="0"/>
        <w:rPr>
          <w:rFonts w:ascii="Times New Roman" w:hAnsi="Times New Roman"/>
          <w:color w:val="FF0000"/>
          <w:sz w:val="18"/>
          <w:szCs w:val="18"/>
        </w:rPr>
      </w:pPr>
    </w:p>
    <w:p w:rsidR="002C3639" w:rsidRDefault="00552968" w:rsidP="00552968">
      <w:pPr>
        <w:tabs>
          <w:tab w:val="left" w:pos="2070"/>
        </w:tabs>
        <w:autoSpaceDE w:val="0"/>
        <w:autoSpaceDN w:val="0"/>
        <w:adjustRightInd w:val="0"/>
        <w:spacing w:after="0"/>
        <w:rPr>
          <w:rFonts w:ascii="Times New Roman" w:hAnsi="Times New Roman"/>
          <w:color w:val="FF0000"/>
          <w:sz w:val="18"/>
          <w:szCs w:val="18"/>
        </w:rPr>
      </w:pPr>
      <w:r>
        <w:rPr>
          <w:rFonts w:ascii="Times New Roman" w:hAnsi="Times New Roman"/>
          <w:color w:val="FF0000"/>
          <w:sz w:val="18"/>
          <w:szCs w:val="18"/>
        </w:rPr>
        <w:tab/>
      </w: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p>
    <w:p w:rsidR="00552968" w:rsidRDefault="00552968" w:rsidP="00552968">
      <w:pPr>
        <w:tabs>
          <w:tab w:val="left" w:pos="2070"/>
        </w:tabs>
        <w:autoSpaceDE w:val="0"/>
        <w:autoSpaceDN w:val="0"/>
        <w:adjustRightInd w:val="0"/>
        <w:spacing w:after="0"/>
        <w:rPr>
          <w:rFonts w:ascii="Times New Roman" w:hAnsi="Times New Roman"/>
          <w:color w:val="FF0000"/>
          <w:sz w:val="18"/>
          <w:szCs w:val="18"/>
        </w:rPr>
      </w:pPr>
      <w:bookmarkStart w:id="0" w:name="_GoBack"/>
      <w:bookmarkEnd w:id="0"/>
    </w:p>
    <w:p w:rsidR="002C3639" w:rsidRDefault="002C3639" w:rsidP="002C3639">
      <w:pPr>
        <w:autoSpaceDE w:val="0"/>
        <w:autoSpaceDN w:val="0"/>
        <w:adjustRightInd w:val="0"/>
        <w:spacing w:after="0"/>
        <w:rPr>
          <w:rFonts w:ascii="Times New Roman" w:hAnsi="Times New Roman"/>
          <w:color w:val="FF0000"/>
          <w:sz w:val="18"/>
          <w:szCs w:val="18"/>
        </w:rPr>
      </w:pPr>
    </w:p>
    <w:p w:rsidR="002C3639" w:rsidRDefault="002C3639" w:rsidP="002C3639">
      <w:pPr>
        <w:autoSpaceDE w:val="0"/>
        <w:autoSpaceDN w:val="0"/>
        <w:adjustRightInd w:val="0"/>
        <w:spacing w:after="0"/>
        <w:rPr>
          <w:rFonts w:ascii="Times New Roman" w:hAnsi="Times New Roman"/>
          <w:color w:val="FF0000"/>
          <w:sz w:val="18"/>
          <w:szCs w:val="18"/>
        </w:rPr>
      </w:pPr>
    </w:p>
    <w:p w:rsidR="002C3639" w:rsidRDefault="002C3639" w:rsidP="002C3639">
      <w:pPr>
        <w:autoSpaceDE w:val="0"/>
        <w:autoSpaceDN w:val="0"/>
        <w:adjustRightInd w:val="0"/>
        <w:spacing w:after="0"/>
        <w:rPr>
          <w:rFonts w:ascii="Times New Roman" w:hAnsi="Times New Roman"/>
          <w:color w:val="FF0000"/>
          <w:sz w:val="18"/>
          <w:szCs w:val="18"/>
        </w:rPr>
      </w:pPr>
      <w:r w:rsidRPr="00EA3162">
        <w:rPr>
          <w:rFonts w:ascii="Times New Roman" w:hAnsi="Times New Roman"/>
          <w:color w:val="FF0000"/>
          <w:sz w:val="18"/>
          <w:szCs w:val="18"/>
        </w:rPr>
        <w:t>NOTE: This Bulletin is intended for use by title issuing offices, title insurance agents and approved attorneys of WFG National Title Insurance Company and any reliance by any other person or entity is unauthorized. This bulletin is intended solely for the purpose of underwriting policies of WFG National Title Insurance Company.</w:t>
      </w:r>
    </w:p>
    <w:sectPr w:rsidR="002C3639" w:rsidSect="00AC234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40B" w:rsidRDefault="0073140B" w:rsidP="002C3639">
      <w:pPr>
        <w:spacing w:after="0" w:line="240" w:lineRule="auto"/>
      </w:pPr>
      <w:r>
        <w:separator/>
      </w:r>
    </w:p>
  </w:endnote>
  <w:endnote w:type="continuationSeparator" w:id="0">
    <w:p w:rsidR="0073140B" w:rsidRDefault="0073140B" w:rsidP="002C3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233297"/>
      <w:docPartObj>
        <w:docPartGallery w:val="Page Numbers (Bottom of Page)"/>
        <w:docPartUnique/>
      </w:docPartObj>
    </w:sdtPr>
    <w:sdtContent>
      <w:sdt>
        <w:sdtPr>
          <w:id w:val="-1669238322"/>
          <w:docPartObj>
            <w:docPartGallery w:val="Page Numbers (Top of Page)"/>
            <w:docPartUnique/>
          </w:docPartObj>
        </w:sdtPr>
        <w:sdtContent>
          <w:p w:rsidR="0073140B" w:rsidRDefault="007314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36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3689">
              <w:rPr>
                <w:b/>
                <w:bCs/>
                <w:noProof/>
              </w:rPr>
              <w:t>2</w:t>
            </w:r>
            <w:r>
              <w:rPr>
                <w:b/>
                <w:bCs/>
                <w:sz w:val="24"/>
                <w:szCs w:val="24"/>
              </w:rPr>
              <w:fldChar w:fldCharType="end"/>
            </w:r>
          </w:p>
        </w:sdtContent>
      </w:sdt>
    </w:sdtContent>
  </w:sdt>
  <w:p w:rsidR="0073140B" w:rsidRDefault="00731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40B" w:rsidRDefault="0073140B" w:rsidP="002C3639">
      <w:pPr>
        <w:spacing w:after="0" w:line="240" w:lineRule="auto"/>
      </w:pPr>
      <w:r>
        <w:separator/>
      </w:r>
    </w:p>
  </w:footnote>
  <w:footnote w:type="continuationSeparator" w:id="0">
    <w:p w:rsidR="0073140B" w:rsidRDefault="0073140B" w:rsidP="002C3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001FD"/>
    <w:multiLevelType w:val="hybridMultilevel"/>
    <w:tmpl w:val="CEC8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1B1361"/>
    <w:rsid w:val="00021894"/>
    <w:rsid w:val="0002241C"/>
    <w:rsid w:val="00092B3F"/>
    <w:rsid w:val="000F2297"/>
    <w:rsid w:val="00123B2A"/>
    <w:rsid w:val="00185B2B"/>
    <w:rsid w:val="001B1361"/>
    <w:rsid w:val="002053D1"/>
    <w:rsid w:val="00287608"/>
    <w:rsid w:val="00291405"/>
    <w:rsid w:val="002A07C8"/>
    <w:rsid w:val="002A1161"/>
    <w:rsid w:val="002A63D4"/>
    <w:rsid w:val="002C3639"/>
    <w:rsid w:val="002D67A8"/>
    <w:rsid w:val="00321BEA"/>
    <w:rsid w:val="003A1C35"/>
    <w:rsid w:val="003B2124"/>
    <w:rsid w:val="003D5CC5"/>
    <w:rsid w:val="003E2285"/>
    <w:rsid w:val="00414377"/>
    <w:rsid w:val="00464912"/>
    <w:rsid w:val="00493689"/>
    <w:rsid w:val="00495F08"/>
    <w:rsid w:val="004B059C"/>
    <w:rsid w:val="004B5EB2"/>
    <w:rsid w:val="004B6CF8"/>
    <w:rsid w:val="004C037C"/>
    <w:rsid w:val="005041FE"/>
    <w:rsid w:val="00521EF1"/>
    <w:rsid w:val="005506D8"/>
    <w:rsid w:val="00552968"/>
    <w:rsid w:val="005A573C"/>
    <w:rsid w:val="005D27DC"/>
    <w:rsid w:val="005D2C1F"/>
    <w:rsid w:val="005D6FC8"/>
    <w:rsid w:val="005F1D29"/>
    <w:rsid w:val="006279C5"/>
    <w:rsid w:val="00662B40"/>
    <w:rsid w:val="00691485"/>
    <w:rsid w:val="006A1773"/>
    <w:rsid w:val="006E6E27"/>
    <w:rsid w:val="007217E7"/>
    <w:rsid w:val="00730FB6"/>
    <w:rsid w:val="0073140B"/>
    <w:rsid w:val="007459EB"/>
    <w:rsid w:val="00747F35"/>
    <w:rsid w:val="00781424"/>
    <w:rsid w:val="007D56F1"/>
    <w:rsid w:val="007F60CF"/>
    <w:rsid w:val="008629AE"/>
    <w:rsid w:val="00881A11"/>
    <w:rsid w:val="0088270D"/>
    <w:rsid w:val="008B2D7E"/>
    <w:rsid w:val="008B62CE"/>
    <w:rsid w:val="008F2045"/>
    <w:rsid w:val="00910F72"/>
    <w:rsid w:val="00982164"/>
    <w:rsid w:val="009958CC"/>
    <w:rsid w:val="009963F8"/>
    <w:rsid w:val="009E2684"/>
    <w:rsid w:val="00A003CA"/>
    <w:rsid w:val="00A21261"/>
    <w:rsid w:val="00A361D7"/>
    <w:rsid w:val="00A50446"/>
    <w:rsid w:val="00A55E4F"/>
    <w:rsid w:val="00A8234C"/>
    <w:rsid w:val="00A8449D"/>
    <w:rsid w:val="00A84FA8"/>
    <w:rsid w:val="00AB04AB"/>
    <w:rsid w:val="00AC2343"/>
    <w:rsid w:val="00AC23FD"/>
    <w:rsid w:val="00AC4BE9"/>
    <w:rsid w:val="00AE08BA"/>
    <w:rsid w:val="00AE4293"/>
    <w:rsid w:val="00B0470D"/>
    <w:rsid w:val="00B5174C"/>
    <w:rsid w:val="00B6084C"/>
    <w:rsid w:val="00BA649E"/>
    <w:rsid w:val="00BC6817"/>
    <w:rsid w:val="00BD3CF5"/>
    <w:rsid w:val="00BE4B64"/>
    <w:rsid w:val="00BE65A6"/>
    <w:rsid w:val="00BE69FF"/>
    <w:rsid w:val="00C17999"/>
    <w:rsid w:val="00C5044B"/>
    <w:rsid w:val="00CA4AB7"/>
    <w:rsid w:val="00CC7806"/>
    <w:rsid w:val="00CE7BC8"/>
    <w:rsid w:val="00CF3679"/>
    <w:rsid w:val="00D127DB"/>
    <w:rsid w:val="00D254E7"/>
    <w:rsid w:val="00D40D25"/>
    <w:rsid w:val="00D463C4"/>
    <w:rsid w:val="00D60F11"/>
    <w:rsid w:val="00DA5702"/>
    <w:rsid w:val="00DF3760"/>
    <w:rsid w:val="00E2084C"/>
    <w:rsid w:val="00E2714F"/>
    <w:rsid w:val="00E34F92"/>
    <w:rsid w:val="00E462D8"/>
    <w:rsid w:val="00E71D59"/>
    <w:rsid w:val="00E74724"/>
    <w:rsid w:val="00EB4E89"/>
    <w:rsid w:val="00F1030B"/>
    <w:rsid w:val="00F3336B"/>
    <w:rsid w:val="00F45E8B"/>
    <w:rsid w:val="00F66B99"/>
    <w:rsid w:val="00FA3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39"/>
    <w:rPr>
      <w:rFonts w:ascii="Tahoma" w:hAnsi="Tahoma" w:cs="Tahoma"/>
      <w:sz w:val="16"/>
      <w:szCs w:val="16"/>
    </w:rPr>
  </w:style>
  <w:style w:type="paragraph" w:styleId="Header">
    <w:name w:val="header"/>
    <w:basedOn w:val="Normal"/>
    <w:link w:val="HeaderChar"/>
    <w:uiPriority w:val="99"/>
    <w:unhideWhenUsed/>
    <w:rsid w:val="002C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639"/>
  </w:style>
  <w:style w:type="paragraph" w:styleId="Footer">
    <w:name w:val="footer"/>
    <w:basedOn w:val="Normal"/>
    <w:link w:val="FooterChar"/>
    <w:uiPriority w:val="99"/>
    <w:unhideWhenUsed/>
    <w:rsid w:val="002C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39"/>
  </w:style>
  <w:style w:type="character" w:styleId="Hyperlink">
    <w:name w:val="Hyperlink"/>
    <w:basedOn w:val="DefaultParagraphFont"/>
    <w:uiPriority w:val="99"/>
    <w:unhideWhenUsed/>
    <w:rsid w:val="00521EF1"/>
    <w:rPr>
      <w:color w:val="0000FF"/>
      <w:u w:val="single"/>
    </w:rPr>
  </w:style>
  <w:style w:type="paragraph" w:styleId="NormalWeb">
    <w:name w:val="Normal (Web)"/>
    <w:basedOn w:val="Normal"/>
    <w:uiPriority w:val="99"/>
    <w:semiHidden/>
    <w:unhideWhenUsed/>
    <w:rsid w:val="00521EF1"/>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CA4A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39"/>
    <w:rPr>
      <w:rFonts w:ascii="Tahoma" w:hAnsi="Tahoma" w:cs="Tahoma"/>
      <w:sz w:val="16"/>
      <w:szCs w:val="16"/>
    </w:rPr>
  </w:style>
  <w:style w:type="paragraph" w:styleId="Header">
    <w:name w:val="header"/>
    <w:basedOn w:val="Normal"/>
    <w:link w:val="HeaderChar"/>
    <w:uiPriority w:val="99"/>
    <w:unhideWhenUsed/>
    <w:rsid w:val="002C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639"/>
  </w:style>
  <w:style w:type="paragraph" w:styleId="Footer">
    <w:name w:val="footer"/>
    <w:basedOn w:val="Normal"/>
    <w:link w:val="FooterChar"/>
    <w:uiPriority w:val="99"/>
    <w:unhideWhenUsed/>
    <w:rsid w:val="002C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639"/>
  </w:style>
  <w:style w:type="character" w:styleId="Hyperlink">
    <w:name w:val="Hyperlink"/>
    <w:basedOn w:val="DefaultParagraphFont"/>
    <w:uiPriority w:val="99"/>
    <w:unhideWhenUsed/>
    <w:rsid w:val="00521EF1"/>
    <w:rPr>
      <w:color w:val="0000FF"/>
      <w:u w:val="single"/>
    </w:rPr>
  </w:style>
  <w:style w:type="paragraph" w:styleId="NormalWeb">
    <w:name w:val="Normal (Web)"/>
    <w:basedOn w:val="Normal"/>
    <w:uiPriority w:val="99"/>
    <w:semiHidden/>
    <w:unhideWhenUsed/>
    <w:rsid w:val="00521EF1"/>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90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blauvelt@wfgnationaltitle.com"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fo.washingtondc.gov/cfo/cwp/view.a.1324.q.590950.cfoNav.%7C33210%7C.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B5BE05563FE6429D2381270EFAF910" ma:contentTypeVersion="0" ma:contentTypeDescription="Create a new document." ma:contentTypeScope="" ma:versionID="46b836f709899cc985a8d008de9de2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C3AE2-A223-4851-879D-3AF3059101A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084D501-AA8E-4F89-822D-B26A12583C5B}">
  <ds:schemaRefs>
    <ds:schemaRef ds:uri="http://schemas.microsoft.com/sharepoint/v3/contenttype/forms"/>
  </ds:schemaRefs>
</ds:datastoreItem>
</file>

<file path=customXml/itemProps3.xml><?xml version="1.0" encoding="utf-8"?>
<ds:datastoreItem xmlns:ds="http://schemas.openxmlformats.org/officeDocument/2006/customXml" ds:itemID="{697EFC9F-2907-40F2-9D8B-919BAA3F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Gott</dc:creator>
  <cp:lastModifiedBy>RBasavanahally</cp:lastModifiedBy>
  <cp:revision>6</cp:revision>
  <cp:lastPrinted>2012-12-05T14:45:00Z</cp:lastPrinted>
  <dcterms:created xsi:type="dcterms:W3CDTF">2012-11-16T19:11:00Z</dcterms:created>
  <dcterms:modified xsi:type="dcterms:W3CDTF">2012-12-05T16:38:00Z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0x010100DCB5BE05563FE6429D2381270EFAF910</vt:lpwstr>
  </property>
</Properties>
</file>